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autoSpaceDE/>
        <w:autoSpaceDN/>
        <w:bidi w:val="0"/>
        <w:adjustRightInd/>
        <w:snapToGrid/>
        <w:spacing w:beforeAutospacing="0" w:afterAutospacing="0" w:line="579" w:lineRule="exact"/>
        <w:jc w:val="center"/>
        <w:textAlignment w:val="auto"/>
        <w:rPr>
          <w:rFonts w:hint="eastAsia" w:ascii="宋体" w:hAnsi="宋体" w:cs="宋体"/>
          <w:b/>
          <w:bCs/>
          <w:spacing w:val="-20"/>
          <w:sz w:val="44"/>
          <w:szCs w:val="44"/>
        </w:rPr>
      </w:pPr>
      <w:r>
        <w:rPr>
          <w:rFonts w:hint="eastAsia" w:ascii="宋体" w:hAnsi="宋体" w:cs="宋体"/>
          <w:b/>
          <w:bCs/>
          <w:spacing w:val="-20"/>
          <w:sz w:val="44"/>
          <w:szCs w:val="44"/>
        </w:rPr>
        <w:t>大东区财政局</w:t>
      </w:r>
      <w:r>
        <w:rPr>
          <w:rFonts w:hint="eastAsia" w:ascii="宋体" w:hAnsi="宋体" w:cs="宋体"/>
          <w:b/>
          <w:bCs/>
          <w:spacing w:val="-20"/>
          <w:sz w:val="44"/>
          <w:szCs w:val="44"/>
          <w:lang w:val="en-US" w:eastAsia="zh-CN"/>
        </w:rPr>
        <w:t xml:space="preserve"> </w:t>
      </w:r>
      <w:r>
        <w:rPr>
          <w:rFonts w:hint="eastAsia" w:ascii="宋体" w:hAnsi="宋体" w:cs="宋体"/>
          <w:b/>
          <w:bCs/>
          <w:spacing w:val="-20"/>
          <w:sz w:val="44"/>
          <w:szCs w:val="44"/>
        </w:rPr>
        <w:t>大东区发展和改革局关于</w:t>
      </w:r>
    </w:p>
    <w:p>
      <w:pPr>
        <w:keepNext w:val="0"/>
        <w:keepLines w:val="0"/>
        <w:pageBreakBefore w:val="0"/>
        <w:kinsoku/>
        <w:wordWrap/>
        <w:overflowPunct/>
        <w:autoSpaceDE/>
        <w:autoSpaceDN/>
        <w:bidi w:val="0"/>
        <w:adjustRightInd/>
        <w:snapToGrid/>
        <w:spacing w:beforeAutospacing="0" w:afterAutospacing="0" w:line="579" w:lineRule="exact"/>
        <w:jc w:val="center"/>
        <w:textAlignment w:val="auto"/>
        <w:rPr>
          <w:rFonts w:hint="eastAsia" w:ascii="宋体" w:hAnsi="宋体" w:cs="宋体"/>
          <w:b/>
          <w:bCs/>
          <w:spacing w:val="-20"/>
          <w:sz w:val="44"/>
          <w:szCs w:val="44"/>
        </w:rPr>
      </w:pPr>
      <w:r>
        <w:rPr>
          <w:rFonts w:hint="eastAsia" w:ascii="宋体" w:hAnsi="宋体" w:cs="宋体"/>
          <w:b/>
          <w:bCs/>
          <w:spacing w:val="-20"/>
          <w:sz w:val="44"/>
          <w:szCs w:val="44"/>
          <w:lang w:eastAsia="zh-CN"/>
        </w:rPr>
        <w:t>公布</w:t>
      </w:r>
      <w:r>
        <w:rPr>
          <w:rFonts w:ascii="宋体" w:hAnsi="宋体" w:cs="宋体"/>
          <w:b/>
          <w:bCs/>
          <w:spacing w:val="-20"/>
          <w:sz w:val="44"/>
          <w:szCs w:val="44"/>
        </w:rPr>
        <w:t>20</w:t>
      </w:r>
      <w:r>
        <w:rPr>
          <w:rFonts w:hint="eastAsia" w:ascii="宋体" w:hAnsi="宋体" w:cs="宋体"/>
          <w:b/>
          <w:bCs/>
          <w:spacing w:val="-20"/>
          <w:sz w:val="44"/>
          <w:szCs w:val="44"/>
        </w:rPr>
        <w:t>2</w:t>
      </w:r>
      <w:r>
        <w:rPr>
          <w:rFonts w:hint="eastAsia" w:ascii="宋体" w:hAnsi="宋体" w:cs="宋体"/>
          <w:b/>
          <w:bCs/>
          <w:spacing w:val="-20"/>
          <w:sz w:val="44"/>
          <w:szCs w:val="44"/>
          <w:lang w:val="en-US" w:eastAsia="zh-CN"/>
        </w:rPr>
        <w:t>3</w:t>
      </w:r>
      <w:r>
        <w:rPr>
          <w:rFonts w:hint="eastAsia" w:ascii="宋体" w:hAnsi="宋体" w:cs="宋体"/>
          <w:b/>
          <w:bCs/>
          <w:spacing w:val="-20"/>
          <w:sz w:val="44"/>
          <w:szCs w:val="44"/>
        </w:rPr>
        <w:t>年大东区行政事业性收费</w:t>
      </w:r>
    </w:p>
    <w:p>
      <w:pPr>
        <w:keepNext w:val="0"/>
        <w:keepLines w:val="0"/>
        <w:pageBreakBefore w:val="0"/>
        <w:kinsoku/>
        <w:wordWrap/>
        <w:overflowPunct/>
        <w:autoSpaceDE/>
        <w:autoSpaceDN/>
        <w:bidi w:val="0"/>
        <w:adjustRightInd/>
        <w:snapToGrid/>
        <w:spacing w:beforeAutospacing="0" w:afterAutospacing="0" w:line="579" w:lineRule="exact"/>
        <w:jc w:val="center"/>
        <w:textAlignment w:val="auto"/>
        <w:rPr>
          <w:rFonts w:ascii="宋体"/>
          <w:b/>
          <w:bCs/>
          <w:spacing w:val="-20"/>
          <w:sz w:val="44"/>
          <w:szCs w:val="44"/>
        </w:rPr>
      </w:pPr>
      <w:r>
        <w:rPr>
          <w:rFonts w:hint="eastAsia" w:ascii="宋体" w:hAnsi="宋体" w:cs="宋体"/>
          <w:b/>
          <w:bCs/>
          <w:spacing w:val="-20"/>
          <w:sz w:val="44"/>
          <w:szCs w:val="44"/>
        </w:rPr>
        <w:t>和政府性基金目录清单的通知</w:t>
      </w: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jc w:val="both"/>
        <w:textAlignment w:val="auto"/>
        <w:rPr>
          <w:rFonts w:hint="eastAsia" w:ascii="仿宋_GB2312" w:hAnsi="仿宋" w:eastAsia="仿宋_GB2312" w:cs="仿宋_GB2312"/>
          <w:sz w:val="32"/>
          <w:szCs w:val="32"/>
        </w:rPr>
      </w:pP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jc w:val="both"/>
        <w:textAlignment w:val="auto"/>
        <w:rPr>
          <w:rFonts w:ascii="仿宋_GB2312" w:hAnsi="仿宋" w:eastAsia="仿宋_GB2312" w:cs="仿宋_GB2312"/>
          <w:sz w:val="32"/>
          <w:szCs w:val="32"/>
        </w:rPr>
      </w:pPr>
      <w:r>
        <w:rPr>
          <w:rFonts w:hint="eastAsia" w:ascii="仿宋_GB2312" w:hAnsi="仿宋" w:eastAsia="仿宋_GB2312" w:cs="仿宋_GB2312"/>
          <w:sz w:val="32"/>
          <w:szCs w:val="32"/>
        </w:rPr>
        <w:t>区直各部门：</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仿宋_GB2312" w:eastAsia="仿宋_GB2312"/>
          <w:sz w:val="32"/>
        </w:rPr>
      </w:pPr>
      <w:r>
        <w:rPr>
          <w:rFonts w:hint="eastAsia" w:ascii="仿宋_GB2312" w:eastAsia="仿宋_GB2312"/>
          <w:sz w:val="32"/>
          <w:highlight w:val="none"/>
        </w:rPr>
        <w:t>为</w:t>
      </w:r>
      <w:r>
        <w:rPr>
          <w:rFonts w:hint="eastAsia" w:ascii="仿宋_GB2312" w:hAnsi="Adobe 仿宋 Std R" w:eastAsia="仿宋_GB2312"/>
          <w:sz w:val="32"/>
          <w:highlight w:val="none"/>
        </w:rPr>
        <w:t>提高行政事业性收费和政府性基金政策透明度，不断优化营商环境，便于社会监督，有效制止各种乱收费行为，按照国家和省有关规定，依据</w:t>
      </w:r>
      <w:r>
        <w:rPr>
          <w:rFonts w:hint="eastAsia" w:ascii="仿宋_GB2312" w:hAnsi="Adobe 仿宋 Std R" w:eastAsia="仿宋_GB2312"/>
          <w:sz w:val="32"/>
          <w:highlight w:val="none"/>
          <w:lang w:eastAsia="zh-CN"/>
        </w:rPr>
        <w:t>沈阳市行政事业性</w:t>
      </w:r>
      <w:r>
        <w:rPr>
          <w:rFonts w:hint="eastAsia" w:ascii="仿宋_GB2312" w:hAnsi="Adobe 仿宋 Std R" w:eastAsia="仿宋_GB2312"/>
          <w:sz w:val="32"/>
          <w:highlight w:val="none"/>
        </w:rPr>
        <w:t>收费</w:t>
      </w:r>
      <w:r>
        <w:rPr>
          <w:rFonts w:hint="eastAsia" w:ascii="仿宋_GB2312" w:hAnsi="Adobe 仿宋 Std R" w:eastAsia="仿宋_GB2312"/>
          <w:sz w:val="32"/>
          <w:highlight w:val="none"/>
          <w:lang w:eastAsia="zh-CN"/>
        </w:rPr>
        <w:t>和政府性</w:t>
      </w:r>
      <w:r>
        <w:rPr>
          <w:rFonts w:hint="eastAsia" w:ascii="仿宋_GB2312" w:hAnsi="Adobe 仿宋 Std R" w:eastAsia="仿宋_GB2312"/>
          <w:sz w:val="32"/>
          <w:highlight w:val="none"/>
        </w:rPr>
        <w:t>基金目录清单，</w:t>
      </w:r>
      <w:r>
        <w:rPr>
          <w:rFonts w:hint="eastAsia" w:ascii="仿宋_GB2312" w:hAnsi="Adobe 仿宋 Std R" w:eastAsia="仿宋_GB2312"/>
          <w:sz w:val="32"/>
          <w:highlight w:val="none"/>
          <w:lang w:eastAsia="zh-CN"/>
        </w:rPr>
        <w:t>结合我区实际，调整</w:t>
      </w:r>
      <w:r>
        <w:rPr>
          <w:rFonts w:hint="eastAsia" w:ascii="仿宋_GB2312" w:hAnsi="Adobe 仿宋 Std R" w:eastAsia="仿宋_GB2312"/>
          <w:sz w:val="32"/>
        </w:rPr>
        <w:t>编制了</w:t>
      </w:r>
      <w:r>
        <w:rPr>
          <w:rFonts w:hint="eastAsia" w:ascii="仿宋_GB2312" w:eastAsia="仿宋_GB2312"/>
          <w:sz w:val="32"/>
        </w:rPr>
        <w:t>《202</w:t>
      </w:r>
      <w:r>
        <w:rPr>
          <w:rFonts w:hint="eastAsia" w:ascii="仿宋_GB2312" w:eastAsia="仿宋_GB2312"/>
          <w:sz w:val="32"/>
          <w:lang w:val="en-US" w:eastAsia="zh-CN"/>
        </w:rPr>
        <w:t>3</w:t>
      </w:r>
      <w:r>
        <w:rPr>
          <w:rFonts w:hint="eastAsia" w:ascii="仿宋_GB2312" w:eastAsia="仿宋_GB2312"/>
          <w:sz w:val="32"/>
        </w:rPr>
        <w:t>年大东区行政事业性收费目录清单》和《202</w:t>
      </w:r>
      <w:r>
        <w:rPr>
          <w:rFonts w:hint="eastAsia" w:ascii="仿宋_GB2312" w:eastAsia="仿宋_GB2312"/>
          <w:sz w:val="32"/>
          <w:lang w:val="en-US" w:eastAsia="zh-CN"/>
        </w:rPr>
        <w:t>3</w:t>
      </w:r>
      <w:r>
        <w:rPr>
          <w:rFonts w:hint="eastAsia" w:ascii="仿宋_GB2312" w:eastAsia="仿宋_GB2312"/>
          <w:sz w:val="32"/>
        </w:rPr>
        <w:t>年大东区政府性基金目录清单》（以下简称“目录清单”），现予以公布并对有关问题通知如下：</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黑体" w:eastAsia="黑体"/>
          <w:sz w:val="32"/>
        </w:rPr>
      </w:pPr>
      <w:r>
        <w:rPr>
          <w:rFonts w:hint="eastAsia" w:ascii="黑体" w:eastAsia="黑体"/>
          <w:sz w:val="32"/>
        </w:rPr>
        <w:t>一、公布目录清单的依据</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hint="eastAsia" w:ascii="仿宋_GB2312" w:eastAsia="仿宋_GB2312"/>
          <w:sz w:val="32"/>
        </w:rPr>
      </w:pPr>
      <w:r>
        <w:rPr>
          <w:rFonts w:hint="eastAsia" w:ascii="仿宋_GB2312" w:eastAsia="仿宋_GB2312"/>
          <w:sz w:val="32"/>
        </w:rPr>
        <w:t>本目录清单所公布的行政事业性收费和政府性基金项目全部为国家、省、市有关部门批准设立的，</w:t>
      </w:r>
      <w:r>
        <w:rPr>
          <w:rFonts w:hint="eastAsia" w:ascii="仿宋_GB2312" w:eastAsia="仿宋_GB2312"/>
          <w:sz w:val="32"/>
          <w:highlight w:val="none"/>
        </w:rPr>
        <w:t>同时明确了项目的收费标准</w:t>
      </w:r>
      <w:r>
        <w:rPr>
          <w:rFonts w:hint="eastAsia" w:ascii="仿宋_GB2312" w:eastAsia="仿宋_GB2312"/>
          <w:sz w:val="32"/>
          <w:highlight w:val="none"/>
          <w:lang w:eastAsia="zh-CN"/>
        </w:rPr>
        <w:t>、</w:t>
      </w:r>
      <w:r>
        <w:rPr>
          <w:rFonts w:hint="eastAsia" w:ascii="仿宋_GB2312" w:eastAsia="仿宋_GB2312"/>
          <w:sz w:val="32"/>
          <w:highlight w:val="none"/>
        </w:rPr>
        <w:t>文件依据、执收单位</w:t>
      </w:r>
      <w:r>
        <w:rPr>
          <w:rFonts w:hint="eastAsia" w:ascii="仿宋_GB2312" w:eastAsia="仿宋_GB2312"/>
          <w:sz w:val="32"/>
          <w:highlight w:val="none"/>
          <w:lang w:val="en-US" w:eastAsia="zh-CN"/>
        </w:rPr>
        <w:t>和咨询电话</w:t>
      </w:r>
      <w:r>
        <w:rPr>
          <w:rFonts w:hint="eastAsia" w:ascii="仿宋_GB2312" w:eastAsia="仿宋_GB2312"/>
          <w:sz w:val="32"/>
          <w:highlight w:val="none"/>
        </w:rPr>
        <w:t>等内容</w:t>
      </w:r>
      <w:r>
        <w:rPr>
          <w:rFonts w:hint="eastAsia" w:ascii="仿宋_GB2312" w:eastAsia="仿宋_GB2312"/>
          <w:sz w:val="32"/>
          <w:highlight w:val="none"/>
          <w:lang w:eastAsia="zh-CN"/>
        </w:rPr>
        <w:t>，</w:t>
      </w:r>
      <w:r>
        <w:rPr>
          <w:rFonts w:hint="eastAsia" w:ascii="仿宋_GB2312" w:eastAsia="仿宋_GB2312"/>
          <w:sz w:val="32"/>
        </w:rPr>
        <w:t>并依据国家、省、市相关政策进行了调整。</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黑体" w:hAnsi="黑体" w:eastAsia="黑体" w:cs="黑体"/>
          <w:sz w:val="32"/>
          <w:szCs w:val="32"/>
          <w:highlight w:val="none"/>
        </w:rPr>
      </w:pPr>
      <w:r>
        <w:rPr>
          <w:rFonts w:hint="eastAsia" w:ascii="黑体" w:hAnsi="黑体" w:eastAsia="黑体"/>
          <w:sz w:val="32"/>
          <w:highlight w:val="none"/>
        </w:rPr>
        <w:t>二、</w:t>
      </w:r>
      <w:r>
        <w:rPr>
          <w:rFonts w:ascii="黑体" w:hAnsi="黑体" w:eastAsia="黑体" w:cs="黑体"/>
          <w:sz w:val="32"/>
          <w:szCs w:val="32"/>
          <w:highlight w:val="none"/>
        </w:rPr>
        <w:t>目录清单调整情况</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val="en-US" w:eastAsia="zh-CN"/>
        </w:rPr>
        <w:t>依据《关于延续实施残疾人就业保障金优惠政策的公告》（财政部公告2023年第8号），2023年1月1日起至2027年12月31日，延续实施残疾人就业保障金分档减缴政策。</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黑体" w:eastAsia="黑体"/>
          <w:sz w:val="32"/>
        </w:rPr>
      </w:pPr>
      <w:r>
        <w:rPr>
          <w:rFonts w:hint="eastAsia" w:ascii="黑体" w:hAnsi="黑体" w:eastAsia="黑体"/>
          <w:sz w:val="32"/>
          <w:lang w:val="en-US" w:eastAsia="zh-CN"/>
        </w:rPr>
        <w:t>三</w:t>
      </w:r>
      <w:r>
        <w:rPr>
          <w:rFonts w:hint="eastAsia" w:ascii="黑体" w:hAnsi="黑体" w:eastAsia="黑体"/>
          <w:sz w:val="32"/>
        </w:rPr>
        <w:t>、目录清单的管理</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黑体" w:eastAsia="黑体"/>
          <w:sz w:val="32"/>
        </w:rPr>
      </w:pPr>
      <w:r>
        <w:rPr>
          <w:rFonts w:hint="eastAsia" w:ascii="仿宋_GB2312" w:eastAsia="仿宋_GB2312"/>
          <w:sz w:val="32"/>
        </w:rPr>
        <w:t>大东区财政局是目录清单的主管部门，负责目录清单的编制、发布；大东区发展和改革局是收费标准的主管部门；各执收单位的主管部门负责本部门目录清单内项目的日常监管和政策解释。</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仿宋_GB2312" w:eastAsia="仿宋_GB2312"/>
          <w:sz w:val="32"/>
        </w:rPr>
      </w:pPr>
      <w:r>
        <w:rPr>
          <w:rFonts w:hint="eastAsia" w:ascii="仿宋_GB2312" w:eastAsia="仿宋_GB2312"/>
          <w:sz w:val="32"/>
        </w:rPr>
        <w:t>各执收单位必须按照本目录清单规定的项目和收费文件规定的标准进行依法征收，不得在目录清单之外另立其它行政事业性收费项目或超出所列文件规定的收费标准收费。</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黑体" w:hAnsi="黑体" w:eastAsia="黑体"/>
          <w:sz w:val="32"/>
        </w:rPr>
      </w:pPr>
      <w:r>
        <w:rPr>
          <w:rFonts w:hint="eastAsia" w:ascii="黑体" w:hAnsi="黑体" w:eastAsia="黑体"/>
          <w:sz w:val="32"/>
          <w:lang w:val="en-US" w:eastAsia="zh-CN"/>
        </w:rPr>
        <w:t>四</w:t>
      </w:r>
      <w:r>
        <w:rPr>
          <w:rFonts w:hint="eastAsia" w:ascii="黑体" w:hAnsi="黑体" w:eastAsia="黑体"/>
          <w:sz w:val="32"/>
        </w:rPr>
        <w:t>、执收单位的权利与责任</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仿宋_GB2312" w:hAnsi="仿宋_GB2312" w:eastAsia="仿宋_GB2312"/>
          <w:sz w:val="32"/>
        </w:rPr>
      </w:pPr>
      <w:r>
        <w:rPr>
          <w:rFonts w:hint="eastAsia" w:ascii="仿宋_GB2312" w:hAnsi="仿宋_GB2312" w:eastAsia="仿宋_GB2312"/>
          <w:sz w:val="32"/>
        </w:rPr>
        <w:t>1.执收单位有权依法行使具体的征收行为，有权依法对拒不缴纳的单位和个人进行催缴。</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仿宋_GB2312" w:hAnsi="仿宋_GB2312" w:eastAsia="仿宋_GB2312"/>
          <w:sz w:val="32"/>
        </w:rPr>
      </w:pPr>
      <w:r>
        <w:rPr>
          <w:rFonts w:hint="eastAsia" w:ascii="仿宋_GB2312" w:hAnsi="仿宋_GB2312" w:eastAsia="仿宋_GB2312"/>
          <w:sz w:val="32"/>
        </w:rPr>
        <w:t>2.执收单位有责任对所涉及的收费政策向缴费人进行解释。</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仿宋_GB2312" w:eastAsia="仿宋_GB2312"/>
          <w:sz w:val="32"/>
        </w:rPr>
      </w:pPr>
      <w:r>
        <w:rPr>
          <w:rFonts w:hint="eastAsia" w:ascii="仿宋_GB2312" w:eastAsia="仿宋_GB2312"/>
          <w:sz w:val="32"/>
        </w:rPr>
        <w:t>3.执收单位不得擅自减收、缓收及免收。减收、缓收及免收应根据有关规定严格按程序进行。</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黑体" w:eastAsia="黑体"/>
          <w:sz w:val="32"/>
        </w:rPr>
      </w:pPr>
      <w:r>
        <w:rPr>
          <w:rFonts w:hint="eastAsia" w:ascii="黑体" w:eastAsia="黑体"/>
          <w:sz w:val="32"/>
          <w:lang w:val="en-US" w:eastAsia="zh-CN"/>
        </w:rPr>
        <w:t>五</w:t>
      </w:r>
      <w:r>
        <w:rPr>
          <w:rFonts w:hint="eastAsia" w:ascii="黑体" w:eastAsia="黑体"/>
          <w:sz w:val="32"/>
        </w:rPr>
        <w:t>、缴纳人的权利与义务</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仿宋_GB2312" w:eastAsia="仿宋_GB2312"/>
          <w:sz w:val="32"/>
        </w:rPr>
      </w:pPr>
      <w:r>
        <w:rPr>
          <w:rFonts w:hint="eastAsia" w:ascii="仿宋_GB2312" w:eastAsia="仿宋_GB2312"/>
          <w:sz w:val="32"/>
        </w:rPr>
        <w:t>1.缴纳人有权拒绝违规收费行为，并向有关部门投诉。</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仿宋_GB2312" w:eastAsia="仿宋_GB2312"/>
          <w:sz w:val="32"/>
        </w:rPr>
      </w:pPr>
      <w:r>
        <w:rPr>
          <w:rFonts w:hint="eastAsia" w:ascii="仿宋_GB2312" w:eastAsia="仿宋_GB2312"/>
          <w:sz w:val="32"/>
        </w:rPr>
        <w:t>2.缴纳人有权要求收费单位公开并解释收费政策。</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仿宋_GB2312" w:eastAsia="仿宋_GB2312"/>
          <w:sz w:val="32"/>
        </w:rPr>
      </w:pPr>
      <w:r>
        <w:rPr>
          <w:rFonts w:hint="eastAsia" w:ascii="仿宋_GB2312" w:eastAsia="仿宋_GB2312"/>
          <w:sz w:val="32"/>
        </w:rPr>
        <w:t>3.缴纳人有义务缴纳国家规定的合法收费。</w:t>
      </w:r>
    </w:p>
    <w:p>
      <w:pPr>
        <w:keepNext w:val="0"/>
        <w:keepLines w:val="0"/>
        <w:pageBreakBefore w:val="0"/>
        <w:kinsoku/>
        <w:wordWrap/>
        <w:overflowPunct/>
        <w:autoSpaceDE/>
        <w:autoSpaceDN/>
        <w:bidi w:val="0"/>
        <w:adjustRightInd/>
        <w:snapToGrid/>
        <w:spacing w:beforeAutospacing="0" w:afterAutospacing="0" w:line="579" w:lineRule="exact"/>
        <w:ind w:firstLine="630"/>
        <w:textAlignment w:val="auto"/>
        <w:rPr>
          <w:rFonts w:ascii="仿宋_GB2312" w:eastAsia="仿宋_GB2312"/>
          <w:sz w:val="32"/>
        </w:rPr>
      </w:pPr>
      <w:r>
        <w:rPr>
          <w:rFonts w:hint="eastAsia" w:ascii="黑体" w:eastAsia="黑体"/>
          <w:sz w:val="32"/>
          <w:lang w:val="en-US" w:eastAsia="zh-CN"/>
        </w:rPr>
        <w:t>六</w:t>
      </w:r>
      <w:r>
        <w:rPr>
          <w:rFonts w:hint="eastAsia" w:ascii="黑体" w:eastAsia="黑体"/>
          <w:sz w:val="32"/>
        </w:rPr>
        <w:t>、</w:t>
      </w:r>
      <w:r>
        <w:rPr>
          <w:rFonts w:hint="eastAsia" w:ascii="黑体" w:hAnsi="黑体" w:eastAsia="黑体"/>
          <w:sz w:val="32"/>
        </w:rPr>
        <w:t>其它事项</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ascii="仿宋_GB2312" w:hAnsi="Adobe 仿宋 Std R" w:eastAsia="仿宋_GB2312"/>
          <w:sz w:val="32"/>
        </w:rPr>
      </w:pPr>
      <w:r>
        <w:rPr>
          <w:rFonts w:hint="eastAsia" w:ascii="仿宋_GB2312" w:eastAsia="仿宋_GB2312"/>
          <w:sz w:val="32"/>
        </w:rPr>
        <w:t>1.本目录清单实行动态管理，将根据国家和省、市政策变化情况适时进行调整。各单位在工作中</w:t>
      </w:r>
      <w:r>
        <w:rPr>
          <w:rFonts w:hint="eastAsia" w:ascii="仿宋_GB2312" w:hAnsi="Adobe 仿宋 Std R" w:eastAsia="仿宋_GB2312"/>
          <w:sz w:val="32"/>
        </w:rPr>
        <w:t>若遇国家和省、市政策调整需随时向财政部门反馈或申报，以便按规定办理相关事宜。</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hint="eastAsia" w:ascii="仿宋_GB2312" w:hAnsi="Adobe 仿宋 Std R" w:eastAsia="仿宋_GB2312"/>
          <w:sz w:val="32"/>
        </w:rPr>
      </w:pPr>
      <w:r>
        <w:rPr>
          <w:rFonts w:hint="eastAsia" w:ascii="仿宋_GB2312" w:hAnsi="Adobe 仿宋 Std R" w:eastAsia="仿宋_GB2312"/>
          <w:sz w:val="32"/>
        </w:rPr>
        <w:t>2.本</w:t>
      </w:r>
      <w:r>
        <w:rPr>
          <w:rFonts w:hint="eastAsia" w:ascii="仿宋_GB2312" w:eastAsia="仿宋_GB2312"/>
          <w:sz w:val="32"/>
        </w:rPr>
        <w:t>目录</w:t>
      </w:r>
      <w:r>
        <w:rPr>
          <w:rFonts w:hint="eastAsia" w:ascii="仿宋_GB2312" w:hAnsi="Adobe 仿宋 Std R" w:eastAsia="仿宋_GB2312"/>
          <w:sz w:val="32"/>
        </w:rPr>
        <w:t>清单在大东区行政区域内执行。</w:t>
      </w: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hint="eastAsia" w:ascii="仿宋_GB2312" w:hAnsi="Adobe 仿宋 Std R" w:eastAsia="仿宋_GB2312"/>
          <w:sz w:val="32"/>
        </w:rPr>
      </w:pPr>
    </w:p>
    <w:p>
      <w:pPr>
        <w:keepNext w:val="0"/>
        <w:keepLines w:val="0"/>
        <w:pageBreakBefore w:val="0"/>
        <w:kinsoku/>
        <w:wordWrap/>
        <w:overflowPunct/>
        <w:autoSpaceDE/>
        <w:autoSpaceDN/>
        <w:bidi w:val="0"/>
        <w:adjustRightInd/>
        <w:snapToGrid/>
        <w:spacing w:beforeAutospacing="0" w:afterAutospacing="0" w:line="579" w:lineRule="exact"/>
        <w:ind w:firstLine="640" w:firstLineChars="200"/>
        <w:textAlignment w:val="auto"/>
        <w:rPr>
          <w:rFonts w:hint="eastAsia" w:ascii="仿宋_GB2312" w:hAnsi="Adobe 仿宋 Std R" w:eastAsia="仿宋_GB2312"/>
          <w:sz w:val="32"/>
        </w:rPr>
      </w:pP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ind w:firstLine="640" w:firstLineChars="200"/>
        <w:jc w:val="both"/>
        <w:textAlignment w:val="auto"/>
        <w:rPr>
          <w:rFonts w:ascii="仿宋_GB2312" w:hAnsi="仿宋" w:eastAsia="仿宋_GB2312" w:cs="Times New Roman"/>
          <w:sz w:val="32"/>
          <w:szCs w:val="32"/>
        </w:rPr>
      </w:pPr>
      <w:r>
        <w:rPr>
          <w:rFonts w:hint="eastAsia" w:ascii="仿宋_GB2312" w:hAnsi="仿宋" w:eastAsia="仿宋_GB2312" w:cs="仿宋_GB2312"/>
          <w:sz w:val="32"/>
          <w:szCs w:val="32"/>
        </w:rPr>
        <w:t>附件：</w:t>
      </w:r>
      <w:r>
        <w:rPr>
          <w:rFonts w:ascii="仿宋_GB2312" w:hAnsi="仿宋" w:eastAsia="仿宋_GB2312" w:cs="仿宋_GB2312"/>
          <w:sz w:val="32"/>
          <w:szCs w:val="32"/>
        </w:rPr>
        <w:t>1.20</w:t>
      </w:r>
      <w:r>
        <w:rPr>
          <w:rFonts w:hint="eastAsia" w:ascii="仿宋_GB2312" w:hAnsi="仿宋" w:eastAsia="仿宋_GB2312" w:cs="仿宋_GB2312"/>
          <w:sz w:val="32"/>
          <w:szCs w:val="32"/>
        </w:rPr>
        <w:t>2</w:t>
      </w:r>
      <w:r>
        <w:rPr>
          <w:rFonts w:hint="eastAsia" w:ascii="仿宋_GB2312" w:hAnsi="仿宋" w:eastAsia="仿宋_GB2312" w:cs="仿宋_GB2312"/>
          <w:sz w:val="32"/>
          <w:szCs w:val="32"/>
          <w:lang w:val="en-US" w:eastAsia="zh-CN"/>
        </w:rPr>
        <w:t>3</w:t>
      </w:r>
      <w:bookmarkStart w:id="0" w:name="_GoBack"/>
      <w:bookmarkEnd w:id="0"/>
      <w:r>
        <w:rPr>
          <w:rFonts w:hint="eastAsia" w:ascii="仿宋_GB2312" w:hAnsi="仿宋" w:eastAsia="仿宋_GB2312" w:cs="仿宋_GB2312"/>
          <w:sz w:val="32"/>
          <w:szCs w:val="32"/>
        </w:rPr>
        <w:t>年大东区行政事业性收费目录清单</w:t>
      </w: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ind w:firstLine="1600" w:firstLineChars="500"/>
        <w:jc w:val="both"/>
        <w:textAlignment w:val="auto"/>
        <w:rPr>
          <w:rFonts w:hint="eastAsia" w:ascii="仿宋_GB2312" w:eastAsia="仿宋_GB2312" w:cs="仿宋_GB2312"/>
          <w:sz w:val="32"/>
          <w:szCs w:val="32"/>
        </w:rPr>
      </w:pPr>
      <w:r>
        <w:rPr>
          <w:rFonts w:ascii="仿宋_GB2312" w:eastAsia="仿宋_GB2312" w:cs="仿宋_GB2312"/>
          <w:sz w:val="32"/>
          <w:szCs w:val="32"/>
        </w:rPr>
        <w:t>2.20</w:t>
      </w:r>
      <w:r>
        <w:rPr>
          <w:rFonts w:hint="eastAsia" w:ascii="仿宋_GB2312" w:eastAsia="仿宋_GB2312" w:cs="仿宋_GB2312"/>
          <w:sz w:val="32"/>
          <w:szCs w:val="32"/>
        </w:rPr>
        <w:t>2</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年大东区政府性基金目录清单</w:t>
      </w: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ind w:firstLine="1600" w:firstLineChars="500"/>
        <w:jc w:val="both"/>
        <w:textAlignment w:val="auto"/>
        <w:rPr>
          <w:rFonts w:hint="eastAsia" w:ascii="仿宋_GB2312" w:eastAsia="仿宋_GB2312" w:cs="仿宋_GB2312"/>
          <w:sz w:val="32"/>
          <w:szCs w:val="32"/>
        </w:rPr>
      </w:pPr>
    </w:p>
    <w:p>
      <w:pPr>
        <w:pStyle w:val="4"/>
        <w:keepNext w:val="0"/>
        <w:keepLines w:val="0"/>
        <w:pageBreakBefore w:val="0"/>
        <w:widowControl w:val="0"/>
        <w:kinsoku/>
        <w:wordWrap/>
        <w:overflowPunct/>
        <w:topLinePunct/>
        <w:autoSpaceDE/>
        <w:autoSpaceDN/>
        <w:bidi w:val="0"/>
        <w:adjustRightInd/>
        <w:snapToGrid/>
        <w:spacing w:before="0" w:beforeAutospacing="0" w:after="0" w:afterAutospacing="0" w:line="579" w:lineRule="exact"/>
        <w:ind w:firstLine="1600" w:firstLineChars="500"/>
        <w:jc w:val="both"/>
        <w:textAlignment w:val="auto"/>
        <w:rPr>
          <w:rFonts w:hint="eastAsia" w:ascii="仿宋_GB2312" w:eastAsia="仿宋_GB2312" w:cs="仿宋_GB2312"/>
          <w:sz w:val="32"/>
          <w:szCs w:val="32"/>
        </w:rPr>
      </w:pPr>
    </w:p>
    <w:p>
      <w:pPr>
        <w:pStyle w:val="4"/>
        <w:keepNext w:val="0"/>
        <w:keepLines w:val="0"/>
        <w:pageBreakBefore w:val="0"/>
        <w:kinsoku/>
        <w:wordWrap/>
        <w:overflowPunct/>
        <w:topLinePunct/>
        <w:autoSpaceDE/>
        <w:autoSpaceDN/>
        <w:bidi w:val="0"/>
        <w:adjustRightInd/>
        <w:snapToGrid/>
        <w:spacing w:before="0" w:beforeAutospacing="0" w:after="0" w:afterAutospacing="0" w:line="579" w:lineRule="exact"/>
        <w:ind w:firstLine="2240" w:firstLineChars="700"/>
        <w:textAlignment w:val="auto"/>
        <w:rPr>
          <w:rFonts w:ascii="仿宋_GB2312" w:eastAsia="仿宋_GB2312" w:cs="仿宋_GB2312"/>
          <w:sz w:val="32"/>
          <w:szCs w:val="32"/>
        </w:rPr>
      </w:pPr>
      <w:r>
        <w:rPr>
          <w:rFonts w:hint="eastAsia" w:ascii="仿宋_GB2312" w:eastAsia="仿宋_GB2312" w:cs="仿宋_GB2312"/>
          <w:sz w:val="32"/>
          <w:szCs w:val="32"/>
        </w:rPr>
        <w:t xml:space="preserve">大东区财政局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大东区发展和改革局</w:t>
      </w:r>
      <w:r>
        <w:rPr>
          <w:rFonts w:ascii="仿宋_GB2312" w:eastAsia="仿宋_GB2312" w:cs="仿宋_GB2312"/>
          <w:sz w:val="32"/>
          <w:szCs w:val="32"/>
        </w:rPr>
        <w:t xml:space="preserve">                        </w:t>
      </w:r>
    </w:p>
    <w:p>
      <w:pPr>
        <w:pStyle w:val="4"/>
        <w:keepNext w:val="0"/>
        <w:keepLines w:val="0"/>
        <w:pageBreakBefore w:val="0"/>
        <w:kinsoku/>
        <w:wordWrap/>
        <w:overflowPunct/>
        <w:topLinePunct/>
        <w:autoSpaceDE/>
        <w:autoSpaceDN/>
        <w:bidi w:val="0"/>
        <w:adjustRightInd/>
        <w:snapToGrid/>
        <w:spacing w:before="0" w:beforeAutospacing="0" w:after="0" w:afterAutospacing="0" w:line="579" w:lineRule="exact"/>
        <w:ind w:firstLine="5440" w:firstLineChars="1700"/>
        <w:textAlignment w:val="auto"/>
      </w:pPr>
      <w:r>
        <w:rPr>
          <w:rFonts w:hint="eastAsia" w:ascii="仿宋_GB2312" w:eastAsia="仿宋_GB2312" w:cs="仿宋_GB2312"/>
          <w:sz w:val="32"/>
          <w:szCs w:val="32"/>
          <w:lang w:val="en-US" w:eastAsia="zh-CN"/>
        </w:rPr>
        <w:t xml:space="preserve">   2023年6月15日</w:t>
      </w:r>
    </w:p>
    <w:sectPr>
      <w:footerReference r:id="rId3" w:type="default"/>
      <w:pgSz w:w="11906" w:h="16838"/>
      <w:pgMar w:top="2211" w:right="1531" w:bottom="181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0000000000000000000"/>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fldChar w:fldCharType="begin"/>
                          </w:r>
                          <w:r>
                            <w:rPr>
                              <w:rFonts w:hint="eastAsia" w:asciiTheme="majorEastAsia" w:hAnsiTheme="majorEastAsia" w:eastAsiaTheme="majorEastAsia" w:cstheme="majorEastAsia"/>
                              <w:sz w:val="32"/>
                              <w:szCs w:val="32"/>
                              <w:lang w:eastAsia="zh-CN"/>
                            </w:rPr>
                            <w:instrText xml:space="preserve"> PAGE  \* MERGEFORMAT </w:instrText>
                          </w:r>
                          <w:r>
                            <w:rPr>
                              <w:rFonts w:hint="eastAsia" w:asciiTheme="majorEastAsia" w:hAnsiTheme="majorEastAsia" w:eastAsiaTheme="majorEastAsia" w:cstheme="majorEastAsia"/>
                              <w:sz w:val="32"/>
                              <w:szCs w:val="32"/>
                              <w:lang w:eastAsia="zh-CN"/>
                            </w:rPr>
                            <w:fldChar w:fldCharType="separate"/>
                          </w:r>
                          <w:r>
                            <w:rPr>
                              <w:rFonts w:hint="eastAsia" w:asciiTheme="majorEastAsia" w:hAnsiTheme="majorEastAsia" w:eastAsiaTheme="majorEastAsia" w:cstheme="majorEastAsia"/>
                              <w:sz w:val="32"/>
                              <w:szCs w:val="32"/>
                              <w:lang w:eastAsia="zh-CN"/>
                            </w:rPr>
                            <w:t>1</w:t>
                          </w:r>
                          <w:r>
                            <w:rPr>
                              <w:rFonts w:hint="eastAsia" w:asciiTheme="majorEastAsia" w:hAnsiTheme="majorEastAsia" w:eastAsiaTheme="majorEastAsia" w:cstheme="majorEastAsia"/>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32"/>
                        <w:szCs w:val="32"/>
                        <w:lang w:eastAsia="zh-CN"/>
                      </w:rPr>
                    </w:pPr>
                    <w:r>
                      <w:rPr>
                        <w:rFonts w:hint="eastAsia" w:asciiTheme="majorEastAsia" w:hAnsiTheme="majorEastAsia" w:eastAsiaTheme="majorEastAsia" w:cstheme="majorEastAsia"/>
                        <w:sz w:val="32"/>
                        <w:szCs w:val="32"/>
                        <w:lang w:eastAsia="zh-CN"/>
                      </w:rPr>
                      <w:fldChar w:fldCharType="begin"/>
                    </w:r>
                    <w:r>
                      <w:rPr>
                        <w:rFonts w:hint="eastAsia" w:asciiTheme="majorEastAsia" w:hAnsiTheme="majorEastAsia" w:eastAsiaTheme="majorEastAsia" w:cstheme="majorEastAsia"/>
                        <w:sz w:val="32"/>
                        <w:szCs w:val="32"/>
                        <w:lang w:eastAsia="zh-CN"/>
                      </w:rPr>
                      <w:instrText xml:space="preserve"> PAGE  \* MERGEFORMAT </w:instrText>
                    </w:r>
                    <w:r>
                      <w:rPr>
                        <w:rFonts w:hint="eastAsia" w:asciiTheme="majorEastAsia" w:hAnsiTheme="majorEastAsia" w:eastAsiaTheme="majorEastAsia" w:cstheme="majorEastAsia"/>
                        <w:sz w:val="32"/>
                        <w:szCs w:val="32"/>
                        <w:lang w:eastAsia="zh-CN"/>
                      </w:rPr>
                      <w:fldChar w:fldCharType="separate"/>
                    </w:r>
                    <w:r>
                      <w:rPr>
                        <w:rFonts w:hint="eastAsia" w:asciiTheme="majorEastAsia" w:hAnsiTheme="majorEastAsia" w:eastAsiaTheme="majorEastAsia" w:cstheme="majorEastAsia"/>
                        <w:sz w:val="32"/>
                        <w:szCs w:val="32"/>
                        <w:lang w:eastAsia="zh-CN"/>
                      </w:rPr>
                      <w:t>1</w:t>
                    </w:r>
                    <w:r>
                      <w:rPr>
                        <w:rFonts w:hint="eastAsia" w:asciiTheme="majorEastAsia" w:hAnsiTheme="majorEastAsia" w:eastAsiaTheme="majorEastAsia" w:cstheme="majorEastAsia"/>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ZWEzMDE1YjI1ZDIyOTczNjhmMzlmODYwNDgyODcifQ=="/>
  </w:docVars>
  <w:rsids>
    <w:rsidRoot w:val="304612A3"/>
    <w:rsid w:val="01154EDD"/>
    <w:rsid w:val="09646A02"/>
    <w:rsid w:val="13366E40"/>
    <w:rsid w:val="14064533"/>
    <w:rsid w:val="143A6828"/>
    <w:rsid w:val="1B79633D"/>
    <w:rsid w:val="1D817F2D"/>
    <w:rsid w:val="21445127"/>
    <w:rsid w:val="276C1F04"/>
    <w:rsid w:val="278F2208"/>
    <w:rsid w:val="292603A4"/>
    <w:rsid w:val="2F960D2A"/>
    <w:rsid w:val="304612A3"/>
    <w:rsid w:val="39347D6E"/>
    <w:rsid w:val="3DCA342E"/>
    <w:rsid w:val="428109FD"/>
    <w:rsid w:val="4472103F"/>
    <w:rsid w:val="4ED305AA"/>
    <w:rsid w:val="558A03E0"/>
    <w:rsid w:val="5CAB38A1"/>
    <w:rsid w:val="611E3A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cs="Courier New" w:eastAsiaTheme="minorEastAsia"/>
      <w:kern w:val="2"/>
      <w:sz w:val="21"/>
      <w:szCs w:val="21"/>
      <w:lang w:val="en-US" w:eastAsia="zh-CN" w:bidi="ar-SA"/>
    </w:rPr>
  </w:style>
  <w:style w:type="paragraph" w:styleId="3">
    <w:name w:val="footer"/>
    <w:qFormat/>
    <w:uiPriority w:val="0"/>
    <w:pPr>
      <w:widowControl w:val="0"/>
      <w:tabs>
        <w:tab w:val="center" w:pos="4153"/>
        <w:tab w:val="right" w:pos="8306"/>
      </w:tabs>
      <w:snapToGrid w:val="0"/>
      <w:jc w:val="left"/>
    </w:pPr>
    <w:rPr>
      <w:rFonts w:asciiTheme="minorHAnsi" w:hAnsiTheme="minorHAnsi" w:eastAsiaTheme="minorEastAsia" w:cstheme="minorBidi"/>
      <w:kern w:val="2"/>
      <w:sz w:val="18"/>
      <w:szCs w:val="24"/>
      <w:lang w:val="en-US" w:eastAsia="zh-CN" w:bidi="ar-SA"/>
    </w:rPr>
  </w:style>
  <w:style w:type="paragraph" w:styleId="4">
    <w:name w:val="Normal (Web)"/>
    <w:qFormat/>
    <w:uiPriority w:val="0"/>
    <w:pPr>
      <w:widowControl/>
      <w:spacing w:before="100" w:beforeAutospacing="1" w:after="100" w:afterAutospacing="1"/>
      <w:jc w:val="left"/>
    </w:pPr>
    <w:rPr>
      <w:rFonts w:ascii="宋体" w:hAnsi="宋体" w:cs="宋体" w:eastAsiaTheme="minorEastAsia"/>
      <w:kern w:val="2"/>
      <w:sz w:val="24"/>
      <w:szCs w:val="24"/>
      <w:lang w:val="en-US" w:eastAsia="zh-CN" w:bidi="ar-SA"/>
    </w:rPr>
  </w:style>
  <w:style w:type="character" w:styleId="7">
    <w:name w:val="Emphasis"/>
    <w:basedOn w:val="6"/>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915</Words>
  <Characters>957</Characters>
  <Lines>0</Lines>
  <Paragraphs>0</Paragraphs>
  <TotalTime>129</TotalTime>
  <ScaleCrop>false</ScaleCrop>
  <LinksUpToDate>false</LinksUpToDate>
  <CharactersWithSpaces>994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2021-05-14T07:32:00Z</dcterms:created>
  <dc:creator>Administrator</dc:creator>
  <cp:lastModifiedBy>Administrator</cp:lastModifiedBy>
  <cp:lastPrinted>2023-06-15T09:00:56Z</cp:lastPrinted>
  <dcterms:modified xsi:type="dcterms:W3CDTF">2023-06-15T09:01:18Z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DDAA061BC3924781896C576FE49E0A11</vt:lpwstr>
  </property>
</Properties>
</file>