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spacing w:line="560" w:lineRule="exact"/>
        <w:jc w:val="both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topLinePunct/>
        <w:spacing w:before="0" w:beforeAutospacing="0" w:after="0" w:afterAutospacing="0" w:line="240" w:lineRule="auto"/>
        <w:ind w:firstLine="0" w:firstLineChars="0"/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</w:t>
      </w:r>
      <w:r>
        <w:rPr>
          <w:rFonts w:hint="eastAsia"/>
          <w:b/>
          <w:bCs/>
          <w:sz w:val="44"/>
          <w:szCs w:val="44"/>
          <w:lang w:val="en-US" w:eastAsia="zh-CN"/>
        </w:rPr>
        <w:t>3</w:t>
      </w:r>
      <w:r>
        <w:rPr>
          <w:rFonts w:hint="eastAsia"/>
          <w:b/>
          <w:bCs/>
          <w:sz w:val="44"/>
          <w:szCs w:val="44"/>
        </w:rPr>
        <w:t>年大东区政府性基金</w:t>
      </w:r>
    </w:p>
    <w:p>
      <w:pPr>
        <w:pStyle w:val="2"/>
        <w:topLinePunct/>
        <w:spacing w:before="0" w:beforeAutospacing="0" w:after="0" w:afterAutospacing="0" w:line="240" w:lineRule="auto"/>
        <w:ind w:firstLine="0" w:firstLine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目录清单</w:t>
      </w:r>
    </w:p>
    <w:p>
      <w:pPr>
        <w:pStyle w:val="2"/>
        <w:topLinePunct/>
        <w:spacing w:before="0" w:beforeAutospacing="0" w:after="0" w:afterAutospacing="0" w:line="240" w:lineRule="auto"/>
        <w:ind w:firstLine="0" w:firstLineChars="0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3"/>
        <w:tblW w:w="98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982"/>
        <w:gridCol w:w="963"/>
        <w:gridCol w:w="2922"/>
        <w:gridCol w:w="1031"/>
        <w:gridCol w:w="1797"/>
        <w:gridCol w:w="589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执收部门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收费标准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管理方式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政策依据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立项级次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城市建设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城市基础设施配套费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住宅：按实际建筑面积134元/平方米;公建：按实际建筑面积99元/平方米；工业：按实际建筑面积60元/平方米。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缴入国库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财综函〔2002〕3号，辽财综函〔2003〕133号，财税〔2019〕53号，辽财非〔2010〕950号，沈建委发〔1999〕93号。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88219863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7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残联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残疾人就业保障金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保障金年缴纳额=（上年用人单位在职职工人数*规定安排残疾人就业比例-上年用人单位实际安排的残疾人就业人数）*上年用人单位在职职工年平均工资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按财政部公告2023年第8号, 延续实施分档减缴政策：2023年1月1日-2027年12月31日，用人单位安排残疾人就业比例1%（含）-1.5%（不含）之间的，按应缴费额的50%征收；1%以下的，按应缴费额的90%征收；在职职工人数在30人（含）以下的企业，继续免征残疾人就业保障金。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缴入国库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《残疾人保障法》，财综〔2001〕16号，财税〔2017〕18号，财税〔2018〕39号，省政府令第75号，辽财综字〔1997〕359号，辽财非〔2016〕415号,辽发改收费〔2020〕358号，财政部公告2019年第98号。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88520162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  <w:jc w:val="center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</w:t>
            </w:r>
          </w:p>
        </w:tc>
        <w:tc>
          <w:tcPr>
            <w:tcW w:w="9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水利建设基金</w:t>
            </w: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  <w:t>（一）从城市基础设施配套费中提取3%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。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缴入国库</w:t>
            </w:r>
          </w:p>
        </w:tc>
        <w:tc>
          <w:tcPr>
            <w:tcW w:w="17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财综〔1998〕125号，财综〔2008〕11号，财综〔2011〕2号，财综〔2011〕33号，财办综〔2011〕111号，财税函〔2016〕291号，财税〔2016〕12号，财税〔2017〕18号，财税〔2020〕9号，财税〔2020〕72号，辽财非〔2011〕266号。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中央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财政计提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（二）从城市维护建设税中按15%比例划入水利建设基金。</w:t>
            </w:r>
          </w:p>
        </w:tc>
        <w:tc>
          <w:tcPr>
            <w:tcW w:w="10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7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8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0ZWEzMDE1YjI1ZDIyOTczNjhmMzlmODYwNDgyODcifQ=="/>
  </w:docVars>
  <w:rsids>
    <w:rsidRoot w:val="1E9F5079"/>
    <w:rsid w:val="1E9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2023-06-15T08:39:00Z</dcterms:created>
  <dc:creator>Administrator</dc:creator>
  <cp:lastModifiedBy>Administrator</cp:lastModifiedBy>
  <dcterms:modified xsi:type="dcterms:W3CDTF">2023-06-15T08:40:47Z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53FD7993168B412E89F3DBEA77EA8B41_11</vt:lpwstr>
  </property>
</Properties>
</file>